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23 248 vom 12. Februar 2024</w:t>
      </w:r>
    </w:p>
    <w:p>
      <w:r>
        <w:t>VS Kantonsgericht, 2024-02-12, FR</w:t>
      </w:r>
    </w:p>
    <w:p>
      <w:r>
        <w:rPr>
          <w:b/>
        </w:rPr>
        <w:t xml:space="preserve">Quelle: </w:t>
      </w:r>
      <w:r>
        <w:t>https://mcp.opencaselaw.ch/entscheid/vs_gerichte_C1 23 248</w:t>
      </w:r>
    </w:p>
    <w:p>
      <w:r>
        <w:t>FR: VS_GERICHTE C1 23 248 du 12 février 2024</w:t>
      </w:r>
    </w:p>
    <w:p>
      <w:r>
        <w:t>IT: VS_GERICHTE C1 23 248 del 12 febbraio 2024</w:t>
      </w:r>
    </w:p>
    <w:p>
      <w:pPr>
        <w:pStyle w:val="Heading2"/>
      </w:pPr>
      <w:r>
        <w:t>Regeste</w:t>
      </w:r>
    </w:p>
    <w:p>
      <w:r>
        <w:t>C1 23 248 ARRÊT DU 12 FÉVRIER 2024 Tribunal cantonal du Valais Cour civile I Camille Rey-Mermet, juge ; Mélanie Favre, greffière statuant dans la cause concernant X _________ SA, appelante, représentée par Maître Xavier-Romain Rahm, avocat à Genève. (carence dans l’organisation d’une SA) appel contre la décision du 22 novembre 2023 du Tribunal des districts d’Hérens et Conthey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est constaté que la procédure judiciaire introduite sur requête du préposé au registre du commerce du Valais central du 29 septembre 2023 est devenue sans objet.</w:t>
      </w:r>
    </w:p>
    <w:p>
      <w:r>
        <w:rPr>
          <w:b/>
        </w:rPr>
        <w:t>E. 3</w:t>
      </w:r>
    </w:p>
    <w:p>
      <w:r>
        <w:t>Les frais de première instance (200 fr.) et d'appel (300 fr.) sont mis à la charge de la société X _________ SA.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t>Sion, le 12 février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